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2" w:rsidRDefault="00B832F7">
      <w:pPr>
        <w:pStyle w:val="normal0"/>
        <w:ind w:left="990" w:hanging="1440"/>
        <w:jc w:val="center"/>
        <w:rPr>
          <w:rFonts w:ascii="Algerian" w:eastAsia="Algerian" w:hAnsi="Algerian" w:cs="Algerian"/>
          <w:sz w:val="38"/>
          <w:szCs w:val="38"/>
        </w:rPr>
      </w:pPr>
      <w:r w:rsidRPr="00B832F7">
        <w:rPr>
          <w:rFonts w:ascii="Algerian" w:eastAsia="Algerian" w:hAnsi="Algerian" w:cs="Algerian"/>
          <w:b/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44450</wp:posOffset>
            </wp:positionV>
            <wp:extent cx="470535" cy="312420"/>
            <wp:effectExtent l="19050" t="0" r="5715" b="0"/>
            <wp:wrapTight wrapText="bothSides">
              <wp:wrapPolygon edited="0">
                <wp:start x="0" y="0"/>
                <wp:lineTo x="-874" y="17122"/>
                <wp:lineTo x="874" y="19756"/>
                <wp:lineTo x="5247" y="19756"/>
                <wp:lineTo x="21862" y="17122"/>
                <wp:lineTo x="21862" y="6585"/>
                <wp:lineTo x="10494" y="0"/>
                <wp:lineTo x="0" y="0"/>
              </wp:wrapPolygon>
            </wp:wrapTight>
            <wp:docPr id="3" name="Picture 1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b/>
          <w:sz w:val="38"/>
          <w:szCs w:val="38"/>
        </w:rPr>
        <w:t>Khyber Medical University Peshawar</w:t>
      </w:r>
    </w:p>
    <w:p w:rsidR="00643192" w:rsidRDefault="00643192">
      <w:pPr>
        <w:pStyle w:val="normal0"/>
        <w:rPr>
          <w:sz w:val="2"/>
          <w:szCs w:val="2"/>
        </w:rPr>
      </w:pPr>
    </w:p>
    <w:tbl>
      <w:tblPr>
        <w:tblStyle w:val="a"/>
        <w:tblW w:w="7020" w:type="dxa"/>
        <w:tblLayout w:type="fixed"/>
        <w:tblLook w:val="0000"/>
      </w:tblPr>
      <w:tblGrid>
        <w:gridCol w:w="7020"/>
      </w:tblGrid>
      <w:tr w:rsidR="00643192">
        <w:tc>
          <w:tcPr>
            <w:tcW w:w="7020" w:type="dxa"/>
            <w:shd w:val="clear" w:color="auto" w:fill="F2F2F2"/>
          </w:tcPr>
          <w:p w:rsidR="00643192" w:rsidRDefault="00734608" w:rsidP="00734608">
            <w:pPr>
              <w:pStyle w:val="normal0"/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  <w:r>
              <w:rPr>
                <w:rFonts w:ascii="Balthazar" w:eastAsia="Balthazar" w:hAnsi="Balthazar" w:cs="Balthazar"/>
                <w:b/>
                <w:sz w:val="28"/>
                <w:szCs w:val="28"/>
              </w:rPr>
              <w:t xml:space="preserve">                                  Faculty</w:t>
            </w:r>
            <w:r w:rsidR="00B832F7">
              <w:rPr>
                <w:rFonts w:ascii="Balthazar" w:eastAsia="Balthazar" w:hAnsi="Balthazar" w:cs="Balthazar"/>
                <w:b/>
                <w:sz w:val="28"/>
                <w:szCs w:val="28"/>
              </w:rPr>
              <w:t xml:space="preserve"> of Basic Medical Sciences</w:t>
            </w:r>
          </w:p>
        </w:tc>
      </w:tr>
    </w:tbl>
    <w:p w:rsidR="00643192" w:rsidRDefault="00B832F7">
      <w:pPr>
        <w:pStyle w:val="normal0"/>
        <w:jc w:val="center"/>
        <w:rPr>
          <w:rFonts w:ascii="Balthazar" w:eastAsia="Balthazar" w:hAnsi="Balthazar" w:cs="Balthazar"/>
          <w:sz w:val="22"/>
          <w:szCs w:val="22"/>
        </w:rPr>
      </w:pPr>
      <w:r>
        <w:rPr>
          <w:rFonts w:ascii="Balthazar" w:eastAsia="Balthazar" w:hAnsi="Balthazar" w:cs="Balthazar"/>
          <w:sz w:val="22"/>
          <w:szCs w:val="22"/>
        </w:rPr>
        <w:t>COMMITTED TO EXCELLENCE IN ACADEMICS &amp; RESEARCH</w:t>
      </w:r>
    </w:p>
    <w:p w:rsidR="00643192" w:rsidRDefault="00643192">
      <w:pPr>
        <w:pStyle w:val="normal0"/>
        <w:jc w:val="center"/>
        <w:rPr>
          <w:sz w:val="8"/>
          <w:szCs w:val="8"/>
        </w:rPr>
      </w:pPr>
    </w:p>
    <w:tbl>
      <w:tblPr>
        <w:tblStyle w:val="a0"/>
        <w:tblW w:w="7740" w:type="dxa"/>
        <w:tblInd w:w="918" w:type="dxa"/>
        <w:tblLayout w:type="fixed"/>
        <w:tblLook w:val="0000"/>
      </w:tblPr>
      <w:tblGrid>
        <w:gridCol w:w="7740"/>
      </w:tblGrid>
      <w:tr w:rsidR="00643192">
        <w:tc>
          <w:tcPr>
            <w:tcW w:w="7740" w:type="dxa"/>
            <w:shd w:val="clear" w:color="auto" w:fill="F2F2F2"/>
          </w:tcPr>
          <w:p w:rsidR="00643192" w:rsidRDefault="00B832F7">
            <w:pPr>
              <w:pStyle w:val="normal0"/>
              <w:jc w:val="center"/>
              <w:rPr>
                <w:rFonts w:ascii="Wide Latin" w:eastAsia="Wide Latin" w:hAnsi="Wide Latin" w:cs="Wide Latin"/>
              </w:rPr>
            </w:pPr>
            <w:r>
              <w:rPr>
                <w:rFonts w:ascii="Wide Latin" w:eastAsia="Wide Latin" w:hAnsi="Wide Latin" w:cs="Wide Latin"/>
                <w:sz w:val="28"/>
                <w:szCs w:val="28"/>
              </w:rPr>
              <w:t xml:space="preserve">ADMISSION NOTICE </w:t>
            </w:r>
          </w:p>
        </w:tc>
      </w:tr>
      <w:tr w:rsidR="001A20E3">
        <w:tc>
          <w:tcPr>
            <w:tcW w:w="7740" w:type="dxa"/>
            <w:shd w:val="clear" w:color="auto" w:fill="F2F2F2"/>
          </w:tcPr>
          <w:p w:rsidR="001A20E3" w:rsidRDefault="001A20E3">
            <w:pPr>
              <w:pStyle w:val="normal0"/>
              <w:jc w:val="center"/>
              <w:rPr>
                <w:rFonts w:ascii="Wide Latin" w:eastAsia="Wide Latin" w:hAnsi="Wide Latin" w:cs="Wide Latin"/>
                <w:sz w:val="28"/>
                <w:szCs w:val="28"/>
              </w:rPr>
            </w:pPr>
          </w:p>
        </w:tc>
      </w:tr>
    </w:tbl>
    <w:p w:rsidR="00643192" w:rsidRDefault="00643192">
      <w:pPr>
        <w:pStyle w:val="normal0"/>
        <w:rPr>
          <w:rFonts w:ascii="Book Antiqua" w:eastAsia="Book Antiqua" w:hAnsi="Book Antiqua" w:cs="Book Antiqua"/>
          <w:sz w:val="4"/>
          <w:szCs w:val="4"/>
        </w:rPr>
      </w:pPr>
    </w:p>
    <w:p w:rsidR="00643192" w:rsidRPr="001A20E3" w:rsidRDefault="001A20E3" w:rsidP="001A20E3">
      <w:pPr>
        <w:pStyle w:val="normal0"/>
        <w:jc w:val="center"/>
        <w:rPr>
          <w:rFonts w:ascii="Book Antiqua" w:eastAsia="Book Antiqua" w:hAnsi="Book Antiqua" w:cs="Book Antiqua"/>
          <w:sz w:val="64"/>
          <w:szCs w:val="12"/>
          <w:u w:val="single"/>
        </w:rPr>
      </w:pPr>
      <w:r w:rsidRPr="001A20E3">
        <w:rPr>
          <w:rFonts w:ascii="Book Antiqua" w:eastAsia="Book Antiqua" w:hAnsi="Book Antiqua" w:cs="Book Antiqua"/>
          <w:sz w:val="64"/>
          <w:szCs w:val="12"/>
          <w:u w:val="single"/>
        </w:rPr>
        <w:t>ELIGIBILITY CRITERIA</w:t>
      </w:r>
    </w:p>
    <w:p w:rsidR="001A20E3" w:rsidRDefault="001A20E3">
      <w:pPr>
        <w:pStyle w:val="normal0"/>
        <w:ind w:left="720"/>
        <w:jc w:val="center"/>
        <w:rPr>
          <w:rFonts w:ascii="Wide Latin" w:eastAsia="Wide Latin" w:hAnsi="Wide Latin" w:cs="Wide Latin"/>
        </w:rPr>
      </w:pPr>
    </w:p>
    <w:p w:rsidR="00643192" w:rsidRDefault="00B832F7">
      <w:pPr>
        <w:pStyle w:val="normal0"/>
        <w:ind w:left="720"/>
        <w:jc w:val="center"/>
        <w:rPr>
          <w:rFonts w:ascii="Wide Latin" w:eastAsia="Wide Latin" w:hAnsi="Wide Latin" w:cs="Wide Latin"/>
        </w:rPr>
      </w:pPr>
      <w:proofErr w:type="spellStart"/>
      <w:r>
        <w:rPr>
          <w:rFonts w:ascii="Wide Latin" w:eastAsia="Wide Latin" w:hAnsi="Wide Latin" w:cs="Wide Latin"/>
        </w:rPr>
        <w:t>MPhil</w:t>
      </w:r>
      <w:proofErr w:type="spellEnd"/>
      <w:r>
        <w:rPr>
          <w:rFonts w:ascii="Wide Latin" w:eastAsia="Wide Latin" w:hAnsi="Wide Latin" w:cs="Wide Latin"/>
        </w:rPr>
        <w:t xml:space="preserve"> &amp; PhD </w:t>
      </w:r>
      <w:proofErr w:type="spellStart"/>
      <w:r>
        <w:rPr>
          <w:rFonts w:ascii="Wide Latin" w:eastAsia="Wide Latin" w:hAnsi="Wide Latin" w:cs="Wide Latin"/>
        </w:rPr>
        <w:t>Programmes</w:t>
      </w:r>
      <w:proofErr w:type="spellEnd"/>
      <w:r>
        <w:rPr>
          <w:rFonts w:ascii="Wide Latin" w:eastAsia="Wide Latin" w:hAnsi="Wide Latin" w:cs="Wide Latin"/>
        </w:rPr>
        <w:t xml:space="preserve"> (Spring 2021)</w:t>
      </w:r>
    </w:p>
    <w:p w:rsidR="004B194C" w:rsidRDefault="004B194C">
      <w:pPr>
        <w:pStyle w:val="normal0"/>
        <w:ind w:left="720"/>
        <w:jc w:val="center"/>
        <w:rPr>
          <w:rFonts w:ascii="Wide Latin" w:eastAsia="Wide Latin" w:hAnsi="Wide Latin" w:cs="Wide Latin"/>
        </w:rPr>
      </w:pPr>
    </w:p>
    <w:tbl>
      <w:tblPr>
        <w:tblStyle w:val="a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3"/>
        <w:gridCol w:w="2394"/>
        <w:gridCol w:w="2394"/>
        <w:gridCol w:w="2737"/>
      </w:tblGrid>
      <w:tr w:rsidR="00643192" w:rsidTr="004B194C">
        <w:trPr>
          <w:trHeight w:val="240"/>
        </w:trPr>
        <w:tc>
          <w:tcPr>
            <w:tcW w:w="9918" w:type="dxa"/>
            <w:gridSpan w:val="4"/>
          </w:tcPr>
          <w:p w:rsidR="00643192" w:rsidRDefault="00B832F7">
            <w:pPr>
              <w:pStyle w:val="normal0"/>
              <w:jc w:val="both"/>
              <w:rPr>
                <w:rFonts w:ascii="Wide Latin" w:eastAsia="Wide Latin" w:hAnsi="Wide Latin" w:cs="Wide Latin"/>
                <w:sz w:val="22"/>
                <w:szCs w:val="22"/>
              </w:rPr>
            </w:pPr>
            <w:proofErr w:type="spellStart"/>
            <w:r>
              <w:rPr>
                <w:rFonts w:ascii="Wide Latin" w:eastAsia="Wide Latin" w:hAnsi="Wide Latin" w:cs="Wide Latin"/>
              </w:rPr>
              <w:t>MPhil</w:t>
            </w:r>
            <w:proofErr w:type="spellEnd"/>
          </w:p>
        </w:tc>
      </w:tr>
      <w:tr w:rsidR="00643192" w:rsidTr="004B194C">
        <w:tc>
          <w:tcPr>
            <w:tcW w:w="2393" w:type="dxa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1. Anatomy</w:t>
            </w:r>
          </w:p>
        </w:tc>
        <w:tc>
          <w:tcPr>
            <w:tcW w:w="2394" w:type="dxa"/>
          </w:tcPr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2. Biochemistry</w:t>
            </w:r>
          </w:p>
        </w:tc>
        <w:tc>
          <w:tcPr>
            <w:tcW w:w="2394" w:type="dxa"/>
          </w:tcPr>
          <w:p w:rsidR="00643192" w:rsidRDefault="006C646A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3</w:t>
            </w:r>
            <w:r w:rsidR="00AD1F66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. Histopathology</w:t>
            </w:r>
          </w:p>
        </w:tc>
        <w:tc>
          <w:tcPr>
            <w:tcW w:w="2737" w:type="dxa"/>
          </w:tcPr>
          <w:p w:rsidR="00643192" w:rsidRDefault="006C646A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4</w:t>
            </w:r>
            <w:r w:rsidR="00E47736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. Human Nutrition</w:t>
            </w:r>
          </w:p>
        </w:tc>
      </w:tr>
      <w:tr w:rsidR="00643192" w:rsidTr="004B194C">
        <w:tc>
          <w:tcPr>
            <w:tcW w:w="2393" w:type="dxa"/>
          </w:tcPr>
          <w:p w:rsidR="00643192" w:rsidRDefault="006C646A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5</w:t>
            </w:r>
            <w:r w:rsidR="00E47736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. Microbiology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643192" w:rsidRDefault="006C646A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6</w:t>
            </w:r>
            <w:r w:rsidR="00E47736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. Physiology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43192" w:rsidRDefault="00E36AFF" w:rsidP="00E36AFF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 w:rsidRPr="00E36AFF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E36AFF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Haematology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</w:tcPr>
          <w:p w:rsidR="00643192" w:rsidRDefault="00E36AFF" w:rsidP="00E47736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8. Pharmacology</w:t>
            </w:r>
          </w:p>
        </w:tc>
      </w:tr>
      <w:tr w:rsidR="00E36AFF" w:rsidTr="004B194C">
        <w:trPr>
          <w:trHeight w:val="200"/>
        </w:trPr>
        <w:tc>
          <w:tcPr>
            <w:tcW w:w="4787" w:type="dxa"/>
            <w:gridSpan w:val="2"/>
            <w:tcBorders>
              <w:right w:val="single" w:sz="4" w:space="0" w:color="auto"/>
            </w:tcBorders>
          </w:tcPr>
          <w:p w:rsidR="00E36AFF" w:rsidRDefault="00E36AFF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9. Dental Materials</w:t>
            </w:r>
          </w:p>
        </w:tc>
        <w:tc>
          <w:tcPr>
            <w:tcW w:w="5131" w:type="dxa"/>
            <w:gridSpan w:val="2"/>
            <w:tcBorders>
              <w:left w:val="single" w:sz="4" w:space="0" w:color="auto"/>
            </w:tcBorders>
          </w:tcPr>
          <w:p w:rsidR="00E36AFF" w:rsidRDefault="00E36AFF" w:rsidP="00E36AFF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10. Molecular Biology and Genetics</w:t>
            </w:r>
          </w:p>
        </w:tc>
      </w:tr>
      <w:tr w:rsidR="00643192" w:rsidTr="004B194C">
        <w:trPr>
          <w:trHeight w:val="240"/>
        </w:trPr>
        <w:tc>
          <w:tcPr>
            <w:tcW w:w="9918" w:type="dxa"/>
            <w:gridSpan w:val="4"/>
          </w:tcPr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Wide Latin" w:eastAsia="Wide Latin" w:hAnsi="Wide Latin" w:cs="Wide Latin"/>
              </w:rPr>
              <w:t>PhD</w:t>
            </w:r>
          </w:p>
        </w:tc>
      </w:tr>
      <w:tr w:rsidR="00643192" w:rsidTr="004B194C">
        <w:tc>
          <w:tcPr>
            <w:tcW w:w="2393" w:type="dxa"/>
          </w:tcPr>
          <w:p w:rsidR="00643192" w:rsidRPr="000238A7" w:rsidRDefault="00B832F7" w:rsidP="000238A7">
            <w:pPr>
              <w:pStyle w:val="normal0"/>
              <w:numPr>
                <w:ilvl w:val="0"/>
                <w:numId w:val="3"/>
              </w:numPr>
              <w:ind w:left="180" w:hanging="180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 w:rsidRPr="000238A7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Dental Material</w:t>
            </w:r>
          </w:p>
        </w:tc>
        <w:tc>
          <w:tcPr>
            <w:tcW w:w="2394" w:type="dxa"/>
          </w:tcPr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2. Biochemistry</w:t>
            </w:r>
          </w:p>
        </w:tc>
        <w:tc>
          <w:tcPr>
            <w:tcW w:w="2394" w:type="dxa"/>
          </w:tcPr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H</w:t>
            </w:r>
            <w:r w:rsidR="006634C0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ematology</w:t>
            </w:r>
            <w:proofErr w:type="spellEnd"/>
          </w:p>
        </w:tc>
        <w:tc>
          <w:tcPr>
            <w:tcW w:w="2737" w:type="dxa"/>
          </w:tcPr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4. Microbiology</w:t>
            </w:r>
          </w:p>
        </w:tc>
      </w:tr>
      <w:tr w:rsidR="00643192" w:rsidTr="004B194C">
        <w:trPr>
          <w:trHeight w:val="200"/>
        </w:trPr>
        <w:tc>
          <w:tcPr>
            <w:tcW w:w="2393" w:type="dxa"/>
          </w:tcPr>
          <w:p w:rsidR="00643192" w:rsidRDefault="00B832F7" w:rsidP="000238A7">
            <w:pPr>
              <w:pStyle w:val="normal0"/>
              <w:ind w:left="360" w:hanging="36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5. Physiology</w:t>
            </w:r>
          </w:p>
        </w:tc>
        <w:tc>
          <w:tcPr>
            <w:tcW w:w="2394" w:type="dxa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Pharmacology</w:t>
            </w:r>
          </w:p>
        </w:tc>
        <w:tc>
          <w:tcPr>
            <w:tcW w:w="5131" w:type="dxa"/>
            <w:gridSpan w:val="2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Molecular Biology and Genetics</w:t>
            </w:r>
          </w:p>
        </w:tc>
      </w:tr>
    </w:tbl>
    <w:p w:rsidR="00643192" w:rsidRDefault="00643192">
      <w:pPr>
        <w:pStyle w:val="normal0"/>
        <w:jc w:val="both"/>
        <w:rPr>
          <w:rFonts w:ascii="Wide Latin" w:eastAsia="Wide Latin" w:hAnsi="Wide Latin" w:cs="Wide Latin"/>
          <w:sz w:val="22"/>
          <w:szCs w:val="22"/>
        </w:rPr>
      </w:pPr>
    </w:p>
    <w:tbl>
      <w:tblPr>
        <w:tblStyle w:val="a2"/>
        <w:tblW w:w="993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0"/>
        <w:gridCol w:w="8790"/>
      </w:tblGrid>
      <w:tr w:rsidR="00643192">
        <w:tc>
          <w:tcPr>
            <w:tcW w:w="1140" w:type="dxa"/>
            <w:shd w:val="clear" w:color="auto" w:fill="000000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8790" w:type="dxa"/>
            <w:shd w:val="clear" w:color="auto" w:fill="000000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Eligibility </w:t>
            </w:r>
          </w:p>
        </w:tc>
      </w:tr>
      <w:tr w:rsidR="00643192">
        <w:tc>
          <w:tcPr>
            <w:tcW w:w="1140" w:type="dxa"/>
            <w:vAlign w:val="center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M</w:t>
            </w:r>
            <w:r w:rsidR="00676CA8"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Phil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</w:t>
            </w:r>
          </w:p>
          <w:p w:rsidR="00643192" w:rsidRDefault="00643192">
            <w:pPr>
              <w:pStyle w:val="normal0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790" w:type="dxa"/>
          </w:tcPr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Candidates holding MBBS/BDS/MD Degrees registered by PMC</w:t>
            </w:r>
            <w:r w:rsidR="008E72AC">
              <w:rPr>
                <w:rFonts w:ascii="Book Antiqua" w:eastAsia="Book Antiqua" w:hAnsi="Book Antiqua" w:cs="Book Antiqua"/>
                <w:sz w:val="16"/>
                <w:szCs w:val="16"/>
              </w:rPr>
              <w:t>/PMDC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are eligible to apply for admission in any of the disciplines mentioned above. 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For Anatomy &amp; Physiology, in addition to criteria at Serial No. 1, candidates holding DPT registered by the PPTA are also eligible to apply.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For Pharmacology, in addition to criteria at Serial No. 1, candidates with 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Pharm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>-D/B-Pharmacy (4 years) registered by the Pharmacy Council of Pakistan</w:t>
            </w:r>
            <w:r>
              <w:t xml:space="preserve"> 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are also eligible to apply.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For Biochemistry, in addition to criteria at Serial No. 1, candidates holding BS (4years) Biochemistry OR 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MSc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degrees in Biochemistry OR 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MSc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Human Nutrition are also eligible to apply.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For Microbiology, in addition to criteria at Serial No. 1, candidates with BS 4years Microbiology OR MS/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MSc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(Microbiology) are also eligible to apply.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For Molecular biology &amp; genetics in addition to criteria at Serial No. 1, candidates with BS 4 years Biological sciences OR </w:t>
            </w: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MSc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biological sciences are also eligible to apply</w:t>
            </w:r>
          </w:p>
          <w:p w:rsidR="00643192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For Human Nutrition, in addition to criteria mentioned at Serial No. 1, candidates with BS 4 years in Nutrition/Human Nutrition/Food Science &amp; Nutrition/Food Science &amp; Technology/Biochemistry from HEC recognized institute.</w:t>
            </w:r>
          </w:p>
          <w:p w:rsidR="00643192" w:rsidRPr="00EA72FA" w:rsidRDefault="00B832F7">
            <w:pPr>
              <w:pStyle w:val="normal0"/>
              <w:numPr>
                <w:ilvl w:val="1"/>
                <w:numId w:val="4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EA72FA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For Dental Materials: BDS or equivalent qualification registered by the </w:t>
            </w:r>
            <w:r w:rsidR="00E47736" w:rsidRPr="00EA72FA">
              <w:rPr>
                <w:rFonts w:ascii="Book Antiqua" w:eastAsia="Book Antiqua" w:hAnsi="Book Antiqua" w:cs="Book Antiqua"/>
                <w:sz w:val="16"/>
                <w:szCs w:val="16"/>
              </w:rPr>
              <w:t>PMC</w:t>
            </w:r>
            <w:r w:rsidR="008E72AC">
              <w:rPr>
                <w:rFonts w:ascii="Book Antiqua" w:eastAsia="Book Antiqua" w:hAnsi="Book Antiqua" w:cs="Book Antiqua"/>
                <w:sz w:val="16"/>
                <w:szCs w:val="16"/>
              </w:rPr>
              <w:t>/PMDC</w:t>
            </w:r>
            <w:r w:rsidRPr="00EA72FA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or their corresponding councils OR MS / </w:t>
            </w:r>
            <w:proofErr w:type="spellStart"/>
            <w:r w:rsidRPr="00EA72FA">
              <w:rPr>
                <w:rFonts w:ascii="Book Antiqua" w:eastAsia="Book Antiqua" w:hAnsi="Book Antiqua" w:cs="Book Antiqua"/>
                <w:sz w:val="16"/>
                <w:szCs w:val="16"/>
              </w:rPr>
              <w:t>MSc</w:t>
            </w:r>
            <w:proofErr w:type="spellEnd"/>
            <w:r w:rsidRPr="00EA72FA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in Biomedical engineering, Polymer chemistry, Material sciences, Biomaterials, Tissue engineering, Biotechnology and Biochemistry.</w:t>
            </w:r>
          </w:p>
          <w:p w:rsidR="00A560C8" w:rsidRDefault="00A560C8">
            <w:pPr>
              <w:pStyle w:val="normal0"/>
              <w:jc w:val="both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  <w:p w:rsidR="00643192" w:rsidRDefault="00B832F7">
            <w:pPr>
              <w:pStyle w:val="normal0"/>
              <w:jc w:val="both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Eligibility criteria is a minimum of cumulative 50% marks (Annual System) or a CGPA of 2.0 (out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of  4.00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in Semester System)  from HEC recognized,  university/degree awarding institution.</w:t>
            </w:r>
          </w:p>
          <w:p w:rsidR="00643192" w:rsidRDefault="00643192">
            <w:pPr>
              <w:pStyle w:val="normal0"/>
              <w:jc w:val="both"/>
              <w:rPr>
                <w:rFonts w:ascii="Book Antiqua" w:eastAsia="Book Antiqua" w:hAnsi="Book Antiqua" w:cs="Book Antiqua"/>
                <w:b/>
                <w:sz w:val="16"/>
                <w:szCs w:val="16"/>
                <w:highlight w:val="yellow"/>
              </w:rPr>
            </w:pPr>
          </w:p>
        </w:tc>
      </w:tr>
      <w:tr w:rsidR="00643192">
        <w:tc>
          <w:tcPr>
            <w:tcW w:w="1140" w:type="dxa"/>
            <w:vAlign w:val="center"/>
          </w:tcPr>
          <w:p w:rsidR="00643192" w:rsidRDefault="00B832F7">
            <w:pPr>
              <w:pStyle w:val="normal0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Ph</w:t>
            </w:r>
            <w:r w:rsidR="00676CA8"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.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8790" w:type="dxa"/>
          </w:tcPr>
          <w:p w:rsidR="00643192" w:rsidRDefault="00B832F7">
            <w:pPr>
              <w:pStyle w:val="normal0"/>
              <w:numPr>
                <w:ilvl w:val="0"/>
                <w:numId w:val="2"/>
              </w:numPr>
              <w:spacing w:line="276" w:lineRule="auto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MPhil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>/FCPS and equivalent degree in a relevant field from HEC recognized</w:t>
            </w:r>
            <w:proofErr w:type="gram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,  university</w:t>
            </w:r>
            <w:proofErr w:type="gram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>/degree awarding institution with CGPA 3.0 (out of 4.0 in the Semester System) or First Division in Annual System.</w:t>
            </w:r>
          </w:p>
          <w:p w:rsidR="00643192" w:rsidRDefault="00B832F7">
            <w:pPr>
              <w:pStyle w:val="normal0"/>
              <w:numPr>
                <w:ilvl w:val="0"/>
                <w:numId w:val="2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Not more than two 2nd Divisions with </w:t>
            </w:r>
            <w:proofErr w:type="gram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no</w:t>
            </w:r>
            <w:proofErr w:type="gram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3rd Division in the academic career.</w:t>
            </w:r>
          </w:p>
          <w:p w:rsidR="00643192" w:rsidRDefault="00B832F7">
            <w:pPr>
              <w:pStyle w:val="normal0"/>
              <w:numPr>
                <w:ilvl w:val="0"/>
                <w:numId w:val="2"/>
              </w:num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Subject GRE in the relevant discipline.</w:t>
            </w:r>
          </w:p>
        </w:tc>
      </w:tr>
    </w:tbl>
    <w:p w:rsidR="00643192" w:rsidRDefault="00643192">
      <w:pPr>
        <w:pStyle w:val="normal0"/>
      </w:pPr>
    </w:p>
    <w:sectPr w:rsidR="00643192" w:rsidSect="00643192">
      <w:pgSz w:w="12240" w:h="15840"/>
      <w:pgMar w:top="63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EFD"/>
    <w:multiLevelType w:val="multilevel"/>
    <w:tmpl w:val="DF5427FE"/>
    <w:lvl w:ilvl="0">
      <w:start w:val="1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9164EC"/>
    <w:multiLevelType w:val="multilevel"/>
    <w:tmpl w:val="EBC0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3EB26A5"/>
    <w:multiLevelType w:val="multilevel"/>
    <w:tmpl w:val="65D03332"/>
    <w:lvl w:ilvl="0">
      <w:start w:val="1"/>
      <w:numFmt w:val="decimal"/>
      <w:lvlText w:val="%1."/>
      <w:lvlJc w:val="left"/>
      <w:pPr>
        <w:ind w:left="144" w:hanging="144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EA84085"/>
    <w:multiLevelType w:val="multilevel"/>
    <w:tmpl w:val="FAF89926"/>
    <w:lvl w:ilvl="0">
      <w:start w:val="1"/>
      <w:numFmt w:val="decimal"/>
      <w:lvlText w:val="%1."/>
      <w:lvlJc w:val="left"/>
      <w:pPr>
        <w:ind w:left="288" w:hanging="288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" w:hanging="144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44" w:hanging="144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43192"/>
    <w:rsid w:val="000238A7"/>
    <w:rsid w:val="000B3B1A"/>
    <w:rsid w:val="000D765C"/>
    <w:rsid w:val="001A20E3"/>
    <w:rsid w:val="002C3ADD"/>
    <w:rsid w:val="002E0596"/>
    <w:rsid w:val="0031677F"/>
    <w:rsid w:val="004B194C"/>
    <w:rsid w:val="00590CA5"/>
    <w:rsid w:val="00643192"/>
    <w:rsid w:val="006634C0"/>
    <w:rsid w:val="00676CA8"/>
    <w:rsid w:val="006C646A"/>
    <w:rsid w:val="00734608"/>
    <w:rsid w:val="008556A7"/>
    <w:rsid w:val="008A31DB"/>
    <w:rsid w:val="008E72AC"/>
    <w:rsid w:val="00A560C8"/>
    <w:rsid w:val="00AC1599"/>
    <w:rsid w:val="00AD1F66"/>
    <w:rsid w:val="00B101A0"/>
    <w:rsid w:val="00B832F7"/>
    <w:rsid w:val="00CA7686"/>
    <w:rsid w:val="00CB239C"/>
    <w:rsid w:val="00E36AFF"/>
    <w:rsid w:val="00E47736"/>
    <w:rsid w:val="00E7229D"/>
    <w:rsid w:val="00EA72FA"/>
    <w:rsid w:val="00F0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5C"/>
  </w:style>
  <w:style w:type="paragraph" w:styleId="Heading1">
    <w:name w:val="heading 1"/>
    <w:basedOn w:val="normal0"/>
    <w:next w:val="normal0"/>
    <w:rsid w:val="006431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31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31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31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431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431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3192"/>
  </w:style>
  <w:style w:type="paragraph" w:styleId="Title">
    <w:name w:val="Title"/>
    <w:basedOn w:val="normal0"/>
    <w:next w:val="normal0"/>
    <w:rsid w:val="006431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31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</dc:creator>
  <cp:lastModifiedBy>hp</cp:lastModifiedBy>
  <cp:revision>22</cp:revision>
  <cp:lastPrinted>2020-12-02T04:07:00Z</cp:lastPrinted>
  <dcterms:created xsi:type="dcterms:W3CDTF">2020-11-24T08:42:00Z</dcterms:created>
  <dcterms:modified xsi:type="dcterms:W3CDTF">2020-12-03T08:17:00Z</dcterms:modified>
</cp:coreProperties>
</file>