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22" w:rsidRPr="0064787A" w:rsidRDefault="001D5C7D" w:rsidP="001D5C7D">
      <w:pPr>
        <w:jc w:val="center"/>
        <w:rPr>
          <w:rFonts w:ascii="Arial" w:hAnsi="Arial" w:cs="Arial"/>
          <w:b/>
          <w:sz w:val="20"/>
          <w:szCs w:val="20"/>
        </w:rPr>
      </w:pPr>
      <w:r w:rsidRPr="0064787A">
        <w:rPr>
          <w:rFonts w:ascii="Arial" w:hAnsi="Arial" w:cs="Arial"/>
          <w:b/>
          <w:sz w:val="20"/>
          <w:szCs w:val="20"/>
        </w:rPr>
        <w:t>PUBLIC NOTICE</w:t>
      </w:r>
    </w:p>
    <w:p w:rsidR="0064787A" w:rsidRPr="0064787A" w:rsidRDefault="0064787A" w:rsidP="001D5C7D">
      <w:pPr>
        <w:jc w:val="center"/>
        <w:rPr>
          <w:rFonts w:ascii="Arial" w:hAnsi="Arial" w:cs="Arial"/>
          <w:b/>
          <w:sz w:val="20"/>
          <w:szCs w:val="20"/>
        </w:rPr>
      </w:pPr>
    </w:p>
    <w:p w:rsidR="001D5C7D" w:rsidRPr="0064787A" w:rsidRDefault="0064787A" w:rsidP="0064787A">
      <w:pPr>
        <w:jc w:val="center"/>
        <w:rPr>
          <w:rFonts w:ascii="Arial" w:hAnsi="Arial" w:cs="Arial"/>
          <w:b/>
          <w:sz w:val="20"/>
          <w:szCs w:val="20"/>
        </w:rPr>
      </w:pPr>
      <w:r w:rsidRPr="0064787A">
        <w:rPr>
          <w:rFonts w:ascii="Arial" w:hAnsi="Arial" w:cs="Arial"/>
          <w:b/>
          <w:sz w:val="20"/>
          <w:szCs w:val="20"/>
        </w:rPr>
        <w:t xml:space="preserve">FOR STUDENTS TAKING THE </w:t>
      </w:r>
      <w:r w:rsidR="003B10AD" w:rsidRPr="0064787A">
        <w:rPr>
          <w:rFonts w:ascii="Arial" w:hAnsi="Arial" w:cs="Arial"/>
          <w:b/>
          <w:sz w:val="20"/>
          <w:szCs w:val="20"/>
        </w:rPr>
        <w:t>ADMISSION TEST</w:t>
      </w:r>
      <w:r w:rsidR="001D5C7D" w:rsidRPr="0064787A">
        <w:rPr>
          <w:rFonts w:ascii="Arial" w:hAnsi="Arial" w:cs="Arial"/>
          <w:b/>
          <w:sz w:val="20"/>
          <w:szCs w:val="20"/>
        </w:rPr>
        <w:t xml:space="preserve"> FOR MEDICAL AND DENTAL COLLEGES.</w:t>
      </w:r>
    </w:p>
    <w:p w:rsidR="001D5C7D" w:rsidRPr="0064787A" w:rsidRDefault="001D5C7D">
      <w:pPr>
        <w:rPr>
          <w:rFonts w:ascii="Arial" w:hAnsi="Arial" w:cs="Arial"/>
          <w:sz w:val="20"/>
          <w:szCs w:val="20"/>
        </w:rPr>
      </w:pPr>
    </w:p>
    <w:p w:rsidR="001D5C7D" w:rsidRPr="0064787A" w:rsidRDefault="001D5C7D" w:rsidP="00373B8F">
      <w:pPr>
        <w:jc w:val="both"/>
        <w:rPr>
          <w:rFonts w:ascii="Arial" w:hAnsi="Arial" w:cs="Arial"/>
          <w:sz w:val="20"/>
          <w:szCs w:val="20"/>
        </w:rPr>
      </w:pPr>
    </w:p>
    <w:p w:rsidR="001D5C7D" w:rsidRPr="0064787A" w:rsidRDefault="001D5C7D" w:rsidP="00373B8F">
      <w:pPr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PM&amp;DC seeks to clarify questions that have been brought to its attention and may not have been fully clarified in the </w:t>
      </w:r>
      <w:r w:rsidR="0064787A" w:rsidRPr="0064787A">
        <w:rPr>
          <w:rFonts w:ascii="Arial" w:hAnsi="Arial" w:cs="Arial"/>
          <w:sz w:val="20"/>
          <w:szCs w:val="20"/>
        </w:rPr>
        <w:t>a</w:t>
      </w:r>
      <w:r w:rsidRPr="0064787A">
        <w:rPr>
          <w:rFonts w:ascii="Arial" w:hAnsi="Arial" w:cs="Arial"/>
          <w:sz w:val="20"/>
          <w:szCs w:val="20"/>
        </w:rPr>
        <w:t xml:space="preserve">dvertisements issued by the Admitting Universities for the holding of the </w:t>
      </w:r>
      <w:r w:rsidR="003B10AD" w:rsidRPr="0064787A">
        <w:rPr>
          <w:rFonts w:ascii="Arial" w:hAnsi="Arial" w:cs="Arial"/>
          <w:sz w:val="20"/>
          <w:szCs w:val="20"/>
        </w:rPr>
        <w:t>Admission Test</w:t>
      </w:r>
      <w:r w:rsidRPr="0064787A">
        <w:rPr>
          <w:rFonts w:ascii="Arial" w:hAnsi="Arial" w:cs="Arial"/>
          <w:sz w:val="20"/>
          <w:szCs w:val="20"/>
        </w:rPr>
        <w:t xml:space="preserve"> (MDCAT) 2019. </w:t>
      </w:r>
    </w:p>
    <w:p w:rsidR="001D5C7D" w:rsidRPr="0064787A" w:rsidRDefault="001D5C7D" w:rsidP="00373B8F">
      <w:pPr>
        <w:jc w:val="both"/>
        <w:rPr>
          <w:rFonts w:ascii="Arial" w:hAnsi="Arial" w:cs="Arial"/>
          <w:sz w:val="20"/>
          <w:szCs w:val="20"/>
        </w:rPr>
      </w:pPr>
    </w:p>
    <w:p w:rsidR="0064787A" w:rsidRPr="0064787A" w:rsidRDefault="001D5C7D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ALL </w:t>
      </w:r>
      <w:r w:rsidR="003B10AD" w:rsidRPr="0064787A">
        <w:rPr>
          <w:rFonts w:ascii="Arial" w:hAnsi="Arial" w:cs="Arial"/>
          <w:sz w:val="20"/>
          <w:szCs w:val="20"/>
        </w:rPr>
        <w:t xml:space="preserve">Admission Test’s </w:t>
      </w:r>
      <w:r w:rsidRPr="0064787A">
        <w:rPr>
          <w:rFonts w:ascii="Arial" w:hAnsi="Arial" w:cs="Arial"/>
          <w:sz w:val="20"/>
          <w:szCs w:val="20"/>
        </w:rPr>
        <w:t>conducted by the Admitting Universities shall be held on 25</w:t>
      </w:r>
      <w:r w:rsidRPr="0064787A">
        <w:rPr>
          <w:rFonts w:ascii="Arial" w:hAnsi="Arial" w:cs="Arial"/>
          <w:sz w:val="20"/>
          <w:szCs w:val="20"/>
          <w:vertAlign w:val="superscript"/>
        </w:rPr>
        <w:t>th</w:t>
      </w:r>
      <w:r w:rsidRPr="0064787A">
        <w:rPr>
          <w:rFonts w:ascii="Arial" w:hAnsi="Arial" w:cs="Arial"/>
          <w:sz w:val="20"/>
          <w:szCs w:val="20"/>
        </w:rPr>
        <w:t xml:space="preserve"> August, 2019</w:t>
      </w:r>
      <w:r w:rsidR="009B22A4" w:rsidRPr="0064787A">
        <w:rPr>
          <w:rFonts w:ascii="Arial" w:hAnsi="Arial" w:cs="Arial"/>
          <w:sz w:val="20"/>
          <w:szCs w:val="20"/>
        </w:rPr>
        <w:t xml:space="preserve"> </w:t>
      </w:r>
      <w:r w:rsidR="00344B10" w:rsidRPr="0064787A">
        <w:rPr>
          <w:rFonts w:ascii="Arial" w:hAnsi="Arial" w:cs="Arial"/>
          <w:sz w:val="20"/>
          <w:szCs w:val="20"/>
        </w:rPr>
        <w:t>or 8</w:t>
      </w:r>
      <w:r w:rsidR="00344B10" w:rsidRPr="0064787A">
        <w:rPr>
          <w:rFonts w:ascii="Arial" w:hAnsi="Arial" w:cs="Arial"/>
          <w:sz w:val="20"/>
          <w:szCs w:val="20"/>
          <w:vertAlign w:val="superscript"/>
        </w:rPr>
        <w:t>th</w:t>
      </w:r>
      <w:r w:rsidR="00344B10" w:rsidRPr="0064787A">
        <w:rPr>
          <w:rFonts w:ascii="Arial" w:hAnsi="Arial" w:cs="Arial"/>
          <w:sz w:val="20"/>
          <w:szCs w:val="20"/>
        </w:rPr>
        <w:t xml:space="preserve"> September 2019 as </w:t>
      </w:r>
      <w:r w:rsidR="0064787A" w:rsidRPr="0064787A">
        <w:rPr>
          <w:rFonts w:ascii="Arial" w:hAnsi="Arial" w:cs="Arial"/>
          <w:sz w:val="20"/>
          <w:szCs w:val="20"/>
        </w:rPr>
        <w:t xml:space="preserve">advertised by each Admitting University and </w:t>
      </w:r>
      <w:r w:rsidR="00344B10" w:rsidRPr="0064787A">
        <w:rPr>
          <w:rFonts w:ascii="Arial" w:hAnsi="Arial" w:cs="Arial"/>
          <w:sz w:val="20"/>
          <w:szCs w:val="20"/>
        </w:rPr>
        <w:t>permitted by PM&amp;DC</w:t>
      </w:r>
      <w:r w:rsidRPr="0064787A">
        <w:rPr>
          <w:rFonts w:ascii="Arial" w:hAnsi="Arial" w:cs="Arial"/>
          <w:sz w:val="20"/>
          <w:szCs w:val="20"/>
        </w:rPr>
        <w:t xml:space="preserve">. </w:t>
      </w:r>
      <w:r w:rsidR="0064787A" w:rsidRPr="0064787A">
        <w:rPr>
          <w:rFonts w:ascii="Arial" w:hAnsi="Arial" w:cs="Arial"/>
          <w:sz w:val="20"/>
          <w:szCs w:val="20"/>
        </w:rPr>
        <w:t xml:space="preserve"> </w:t>
      </w:r>
    </w:p>
    <w:p w:rsidR="0064787A" w:rsidRPr="0064787A" w:rsidRDefault="0064787A" w:rsidP="0064787A">
      <w:pPr>
        <w:jc w:val="both"/>
        <w:rPr>
          <w:rFonts w:ascii="Arial" w:hAnsi="Arial" w:cs="Arial"/>
          <w:sz w:val="20"/>
          <w:szCs w:val="20"/>
        </w:rPr>
      </w:pPr>
    </w:p>
    <w:p w:rsidR="001D5C7D" w:rsidRPr="0064787A" w:rsidRDefault="001D5C7D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Any student having completed their final year of FSC or equivalent may apply and sit the </w:t>
      </w:r>
      <w:r w:rsidR="003B10AD" w:rsidRPr="0064787A">
        <w:rPr>
          <w:rFonts w:ascii="Arial" w:hAnsi="Arial" w:cs="Arial"/>
          <w:sz w:val="20"/>
          <w:szCs w:val="20"/>
        </w:rPr>
        <w:t xml:space="preserve">Admission Test </w:t>
      </w:r>
      <w:r w:rsidRPr="0064787A">
        <w:rPr>
          <w:rFonts w:ascii="Arial" w:hAnsi="Arial" w:cs="Arial"/>
          <w:sz w:val="20"/>
          <w:szCs w:val="20"/>
        </w:rPr>
        <w:t xml:space="preserve">conducted by any of the Admitting Universities.  FSC or equivalent exam result is not a pre-condition to apply for or take the </w:t>
      </w:r>
      <w:r w:rsidR="003B10AD" w:rsidRPr="0064787A">
        <w:rPr>
          <w:rFonts w:ascii="Arial" w:hAnsi="Arial" w:cs="Arial"/>
          <w:sz w:val="20"/>
          <w:szCs w:val="20"/>
        </w:rPr>
        <w:t>Admission Test</w:t>
      </w:r>
      <w:r w:rsidRPr="0064787A">
        <w:rPr>
          <w:rFonts w:ascii="Arial" w:hAnsi="Arial" w:cs="Arial"/>
          <w:sz w:val="20"/>
          <w:szCs w:val="20"/>
        </w:rPr>
        <w:t xml:space="preserve">. </w:t>
      </w:r>
    </w:p>
    <w:p w:rsidR="001D5C7D" w:rsidRPr="0064787A" w:rsidRDefault="001D5C7D" w:rsidP="00373B8F">
      <w:pPr>
        <w:pStyle w:val="ListParagraph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5C7D" w:rsidRPr="0064787A" w:rsidRDefault="001D5C7D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The </w:t>
      </w:r>
      <w:r w:rsidR="003B10AD" w:rsidRPr="0064787A">
        <w:rPr>
          <w:rFonts w:ascii="Arial" w:hAnsi="Arial" w:cs="Arial"/>
          <w:sz w:val="20"/>
          <w:szCs w:val="20"/>
        </w:rPr>
        <w:t xml:space="preserve">Admission Test </w:t>
      </w:r>
      <w:r w:rsidRPr="0064787A">
        <w:rPr>
          <w:rFonts w:ascii="Arial" w:hAnsi="Arial" w:cs="Arial"/>
          <w:sz w:val="20"/>
          <w:szCs w:val="20"/>
        </w:rPr>
        <w:t xml:space="preserve">represents 50% of the weightage for calculation for merit for admission to medical or dental college and therefore, is a mandatory requirement for admission to medical or dental college. </w:t>
      </w:r>
    </w:p>
    <w:p w:rsidR="001D5C7D" w:rsidRPr="0064787A" w:rsidRDefault="001D5C7D" w:rsidP="00373B8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4787A" w:rsidRPr="0064787A" w:rsidRDefault="0064787A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The Admission Test is not an Application for Admission to a Medical or Dental College.  The Admission Test and Application for Admission to a Medical or Dental College are different steps of the process.  </w:t>
      </w:r>
    </w:p>
    <w:p w:rsidR="0064787A" w:rsidRPr="0064787A" w:rsidRDefault="0064787A" w:rsidP="0064787A">
      <w:pPr>
        <w:pStyle w:val="ListParagraph"/>
        <w:rPr>
          <w:rFonts w:ascii="Arial" w:hAnsi="Arial" w:cs="Arial"/>
          <w:sz w:val="20"/>
          <w:szCs w:val="20"/>
        </w:rPr>
      </w:pPr>
    </w:p>
    <w:p w:rsidR="001D5C7D" w:rsidRPr="0064787A" w:rsidRDefault="001D5C7D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Admissions to public and private medical and dental colleges shall be separately advertised in September 2019 after completion of the </w:t>
      </w:r>
      <w:r w:rsidR="003B10AD" w:rsidRPr="0064787A">
        <w:rPr>
          <w:rFonts w:ascii="Arial" w:hAnsi="Arial" w:cs="Arial"/>
          <w:sz w:val="20"/>
          <w:szCs w:val="20"/>
        </w:rPr>
        <w:t xml:space="preserve">Admission Test </w:t>
      </w:r>
      <w:r w:rsidR="00373B8F" w:rsidRPr="0064787A">
        <w:rPr>
          <w:rFonts w:ascii="Arial" w:hAnsi="Arial" w:cs="Arial"/>
          <w:sz w:val="20"/>
          <w:szCs w:val="20"/>
        </w:rPr>
        <w:t>at which time the students can elect to apply for admission to medical or dental college</w:t>
      </w:r>
      <w:r w:rsidR="0064787A" w:rsidRPr="0064787A">
        <w:rPr>
          <w:rFonts w:ascii="Arial" w:hAnsi="Arial" w:cs="Arial"/>
          <w:sz w:val="20"/>
          <w:szCs w:val="20"/>
        </w:rPr>
        <w:t xml:space="preserve"> through multiple Admitting Universities</w:t>
      </w:r>
      <w:r w:rsidRPr="0064787A">
        <w:rPr>
          <w:rFonts w:ascii="Arial" w:hAnsi="Arial" w:cs="Arial"/>
          <w:sz w:val="20"/>
          <w:szCs w:val="20"/>
        </w:rPr>
        <w:t xml:space="preserve">. </w:t>
      </w:r>
    </w:p>
    <w:p w:rsidR="001D5C7D" w:rsidRPr="0064787A" w:rsidRDefault="001D5C7D" w:rsidP="00373B8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D5C7D" w:rsidRPr="0064787A" w:rsidRDefault="001D5C7D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Admission to a </w:t>
      </w:r>
      <w:r w:rsidR="00373B8F" w:rsidRPr="0064787A">
        <w:rPr>
          <w:rFonts w:ascii="Arial" w:hAnsi="Arial" w:cs="Arial"/>
          <w:sz w:val="20"/>
          <w:szCs w:val="20"/>
        </w:rPr>
        <w:t xml:space="preserve">PUBLIC </w:t>
      </w:r>
      <w:r w:rsidRPr="0064787A">
        <w:rPr>
          <w:rFonts w:ascii="Arial" w:hAnsi="Arial" w:cs="Arial"/>
          <w:sz w:val="20"/>
          <w:szCs w:val="20"/>
        </w:rPr>
        <w:t xml:space="preserve">medical or dental college shall be </w:t>
      </w:r>
      <w:r w:rsidR="00373B8F" w:rsidRPr="0064787A">
        <w:rPr>
          <w:rFonts w:ascii="Arial" w:hAnsi="Arial" w:cs="Arial"/>
          <w:sz w:val="20"/>
          <w:szCs w:val="20"/>
        </w:rPr>
        <w:t xml:space="preserve">subject to </w:t>
      </w:r>
      <w:r w:rsidRPr="0064787A">
        <w:rPr>
          <w:rFonts w:ascii="Arial" w:hAnsi="Arial" w:cs="Arial"/>
          <w:sz w:val="20"/>
          <w:szCs w:val="20"/>
        </w:rPr>
        <w:t xml:space="preserve">provincial domicile of the student.  Therefore, a student desirous of applying to a public medical or dental college must sit for the </w:t>
      </w:r>
      <w:r w:rsidR="00A27128" w:rsidRPr="0064787A">
        <w:rPr>
          <w:rFonts w:ascii="Arial" w:hAnsi="Arial" w:cs="Arial"/>
          <w:sz w:val="20"/>
          <w:szCs w:val="20"/>
        </w:rPr>
        <w:t xml:space="preserve">Admission Test </w:t>
      </w:r>
      <w:r w:rsidRPr="0064787A">
        <w:rPr>
          <w:rFonts w:ascii="Arial" w:hAnsi="Arial" w:cs="Arial"/>
          <w:sz w:val="20"/>
          <w:szCs w:val="20"/>
        </w:rPr>
        <w:t>conducted by the Admitting University of the province</w:t>
      </w:r>
      <w:r w:rsidR="0064787A" w:rsidRPr="0064787A">
        <w:rPr>
          <w:rFonts w:ascii="Arial" w:hAnsi="Arial" w:cs="Arial"/>
          <w:sz w:val="20"/>
          <w:szCs w:val="20"/>
        </w:rPr>
        <w:t>/territory</w:t>
      </w:r>
      <w:r w:rsidRPr="0064787A">
        <w:rPr>
          <w:rFonts w:ascii="Arial" w:hAnsi="Arial" w:cs="Arial"/>
          <w:sz w:val="20"/>
          <w:szCs w:val="20"/>
        </w:rPr>
        <w:t xml:space="preserve"> of which the student holds a domicile. </w:t>
      </w:r>
    </w:p>
    <w:p w:rsidR="001D5C7D" w:rsidRPr="0064787A" w:rsidRDefault="001D5C7D" w:rsidP="00373B8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73B8F" w:rsidRPr="0064787A" w:rsidRDefault="00373B8F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As per Regulation </w:t>
      </w:r>
      <w:r w:rsidR="009B22A4" w:rsidRPr="0064787A">
        <w:rPr>
          <w:rFonts w:ascii="Arial" w:hAnsi="Arial" w:cs="Arial"/>
          <w:sz w:val="20"/>
          <w:szCs w:val="20"/>
        </w:rPr>
        <w:t>9(6)</w:t>
      </w:r>
      <w:r w:rsidRPr="0064787A">
        <w:rPr>
          <w:rFonts w:ascii="Arial" w:hAnsi="Arial" w:cs="Arial"/>
          <w:sz w:val="20"/>
          <w:szCs w:val="20"/>
        </w:rPr>
        <w:t xml:space="preserve"> of the </w:t>
      </w:r>
      <w:r w:rsidR="009B22A4" w:rsidRPr="0064787A">
        <w:rPr>
          <w:rFonts w:ascii="Arial" w:hAnsi="Arial" w:cs="Arial"/>
          <w:sz w:val="20"/>
          <w:szCs w:val="20"/>
        </w:rPr>
        <w:t xml:space="preserve">MBBS and BDS (Admissions, House Job and Internship)  </w:t>
      </w:r>
      <w:r w:rsidRPr="0064787A">
        <w:rPr>
          <w:rFonts w:ascii="Arial" w:hAnsi="Arial" w:cs="Arial"/>
          <w:sz w:val="20"/>
          <w:szCs w:val="20"/>
        </w:rPr>
        <w:t xml:space="preserve">Regulations, 2018 a student can apply for admission to a PRIVATE medical or dental college anywhere in Pakistan on the basis of </w:t>
      </w:r>
      <w:r w:rsidR="00A27128" w:rsidRPr="0064787A">
        <w:rPr>
          <w:rFonts w:ascii="Arial" w:hAnsi="Arial" w:cs="Arial"/>
          <w:sz w:val="20"/>
          <w:szCs w:val="20"/>
        </w:rPr>
        <w:t xml:space="preserve">Admission Test </w:t>
      </w:r>
      <w:r w:rsidRPr="0064787A">
        <w:rPr>
          <w:rFonts w:ascii="Arial" w:hAnsi="Arial" w:cs="Arial"/>
          <w:sz w:val="20"/>
          <w:szCs w:val="20"/>
        </w:rPr>
        <w:t xml:space="preserve">conducted by any of the Admitting University’s.  Therefore, a student’s ability to apply to any private medical or dental college shall not be in any manner restricted by province in which the student takes the </w:t>
      </w:r>
      <w:r w:rsidR="00A27128" w:rsidRPr="0064787A">
        <w:rPr>
          <w:rFonts w:ascii="Arial" w:hAnsi="Arial" w:cs="Arial"/>
          <w:sz w:val="20"/>
          <w:szCs w:val="20"/>
        </w:rPr>
        <w:t>Admission Test</w:t>
      </w:r>
      <w:r w:rsidRPr="0064787A">
        <w:rPr>
          <w:rFonts w:ascii="Arial" w:hAnsi="Arial" w:cs="Arial"/>
          <w:sz w:val="20"/>
          <w:szCs w:val="20"/>
        </w:rPr>
        <w:t xml:space="preserve">. </w:t>
      </w:r>
    </w:p>
    <w:p w:rsidR="00373B8F" w:rsidRPr="0064787A" w:rsidRDefault="00373B8F" w:rsidP="00373B8F">
      <w:pPr>
        <w:pStyle w:val="ListParagraph"/>
        <w:rPr>
          <w:rFonts w:ascii="Arial" w:hAnsi="Arial" w:cs="Arial"/>
          <w:sz w:val="20"/>
          <w:szCs w:val="20"/>
        </w:rPr>
      </w:pPr>
    </w:p>
    <w:p w:rsidR="001D5C7D" w:rsidRPr="0064787A" w:rsidRDefault="00373B8F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For purposes of availing </w:t>
      </w:r>
      <w:r w:rsidR="009B22A4" w:rsidRPr="0064787A">
        <w:rPr>
          <w:rFonts w:ascii="Arial" w:hAnsi="Arial" w:cs="Arial"/>
          <w:sz w:val="20"/>
          <w:szCs w:val="20"/>
        </w:rPr>
        <w:t>the</w:t>
      </w:r>
      <w:r w:rsidRPr="0064787A">
        <w:rPr>
          <w:rFonts w:ascii="Arial" w:hAnsi="Arial" w:cs="Arial"/>
          <w:sz w:val="20"/>
          <w:szCs w:val="20"/>
        </w:rPr>
        <w:t xml:space="preserve"> provincial quota in the Federal Medical &amp; Dental College</w:t>
      </w:r>
      <w:r w:rsidR="009B22A4" w:rsidRPr="0064787A">
        <w:rPr>
          <w:rFonts w:ascii="Arial" w:hAnsi="Arial" w:cs="Arial"/>
          <w:sz w:val="20"/>
          <w:szCs w:val="20"/>
        </w:rPr>
        <w:t>,</w:t>
      </w:r>
      <w:r w:rsidRPr="0064787A">
        <w:rPr>
          <w:rFonts w:ascii="Arial" w:hAnsi="Arial" w:cs="Arial"/>
          <w:sz w:val="20"/>
          <w:szCs w:val="20"/>
        </w:rPr>
        <w:t xml:space="preserve"> </w:t>
      </w:r>
      <w:r w:rsidR="009B22A4" w:rsidRPr="0064787A">
        <w:rPr>
          <w:rFonts w:ascii="Arial" w:hAnsi="Arial" w:cs="Arial"/>
          <w:sz w:val="20"/>
          <w:szCs w:val="20"/>
        </w:rPr>
        <w:t>a student’s</w:t>
      </w:r>
      <w:r w:rsidRPr="0064787A">
        <w:rPr>
          <w:rFonts w:ascii="Arial" w:hAnsi="Arial" w:cs="Arial"/>
          <w:sz w:val="20"/>
          <w:szCs w:val="20"/>
        </w:rPr>
        <w:t xml:space="preserve"> </w:t>
      </w:r>
      <w:r w:rsidR="00A27128" w:rsidRPr="0064787A">
        <w:rPr>
          <w:rFonts w:ascii="Arial" w:hAnsi="Arial" w:cs="Arial"/>
          <w:sz w:val="20"/>
          <w:szCs w:val="20"/>
        </w:rPr>
        <w:t xml:space="preserve">Admission Test </w:t>
      </w:r>
      <w:r w:rsidR="009B22A4" w:rsidRPr="0064787A">
        <w:rPr>
          <w:rFonts w:ascii="Arial" w:hAnsi="Arial" w:cs="Arial"/>
          <w:sz w:val="20"/>
          <w:szCs w:val="20"/>
        </w:rPr>
        <w:t xml:space="preserve">from the Admitting University of the applicable domicile of the student would be </w:t>
      </w:r>
      <w:r w:rsidR="0064787A" w:rsidRPr="0064787A">
        <w:rPr>
          <w:rFonts w:ascii="Arial" w:hAnsi="Arial" w:cs="Arial"/>
          <w:sz w:val="20"/>
          <w:szCs w:val="20"/>
        </w:rPr>
        <w:t>treated as valid and applicable</w:t>
      </w:r>
      <w:r w:rsidR="009B22A4" w:rsidRPr="0064787A">
        <w:rPr>
          <w:rFonts w:ascii="Arial" w:hAnsi="Arial" w:cs="Arial"/>
          <w:sz w:val="20"/>
          <w:szCs w:val="20"/>
        </w:rPr>
        <w:t xml:space="preserve">.  </w:t>
      </w:r>
    </w:p>
    <w:p w:rsidR="009B22A4" w:rsidRPr="0064787A" w:rsidRDefault="009B22A4" w:rsidP="009B22A4">
      <w:pPr>
        <w:pStyle w:val="ListParagraph"/>
        <w:rPr>
          <w:rFonts w:ascii="Arial" w:hAnsi="Arial" w:cs="Arial"/>
          <w:sz w:val="20"/>
          <w:szCs w:val="20"/>
        </w:rPr>
      </w:pPr>
    </w:p>
    <w:p w:rsidR="009B22A4" w:rsidRPr="0064787A" w:rsidRDefault="009B22A4" w:rsidP="00373B8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4787A">
        <w:rPr>
          <w:rFonts w:ascii="Arial" w:hAnsi="Arial" w:cs="Arial"/>
          <w:sz w:val="20"/>
          <w:szCs w:val="20"/>
        </w:rPr>
        <w:t xml:space="preserve">Any questions or clarifications can be sought by sending an email to </w:t>
      </w:r>
      <w:hyperlink r:id="rId5" w:history="1">
        <w:r w:rsidRPr="0064787A">
          <w:rPr>
            <w:rStyle w:val="Hyperlink"/>
            <w:rFonts w:ascii="Arial" w:hAnsi="Arial" w:cs="Arial"/>
            <w:sz w:val="20"/>
            <w:szCs w:val="20"/>
          </w:rPr>
          <w:t>mdcat@pmdc.co.pk</w:t>
        </w:r>
      </w:hyperlink>
      <w:r w:rsidRPr="0064787A">
        <w:rPr>
          <w:rFonts w:ascii="Arial" w:hAnsi="Arial" w:cs="Arial"/>
          <w:sz w:val="20"/>
          <w:szCs w:val="20"/>
        </w:rPr>
        <w:t xml:space="preserve"> or calling on the MDCAT Hot Line ______________. </w:t>
      </w:r>
    </w:p>
    <w:p w:rsidR="00E864FF" w:rsidRPr="0064787A" w:rsidRDefault="00E864FF" w:rsidP="00E864FF">
      <w:pPr>
        <w:pStyle w:val="ListParagraph"/>
        <w:rPr>
          <w:rFonts w:ascii="Arial" w:hAnsi="Arial" w:cs="Arial"/>
          <w:sz w:val="20"/>
          <w:szCs w:val="20"/>
        </w:rPr>
      </w:pPr>
    </w:p>
    <w:p w:rsidR="00E864FF" w:rsidRPr="0064787A" w:rsidRDefault="00E864FF" w:rsidP="00E864FF">
      <w:pPr>
        <w:pStyle w:val="ListParagraph"/>
        <w:rPr>
          <w:rFonts w:ascii="Arial" w:hAnsi="Arial" w:cs="Arial"/>
          <w:sz w:val="20"/>
          <w:szCs w:val="20"/>
        </w:rPr>
      </w:pPr>
    </w:p>
    <w:p w:rsidR="00E864FF" w:rsidRPr="0064787A" w:rsidRDefault="00E864FF" w:rsidP="00E864FF">
      <w:pPr>
        <w:jc w:val="center"/>
        <w:rPr>
          <w:rFonts w:ascii="Arial" w:hAnsi="Arial" w:cs="Arial"/>
          <w:b/>
          <w:sz w:val="20"/>
          <w:szCs w:val="20"/>
        </w:rPr>
      </w:pPr>
      <w:r w:rsidRPr="0064787A">
        <w:rPr>
          <w:rFonts w:ascii="Arial" w:hAnsi="Arial" w:cs="Arial"/>
          <w:b/>
          <w:sz w:val="20"/>
          <w:szCs w:val="20"/>
        </w:rPr>
        <w:t>ADMITTING UNIVERSITIES</w:t>
      </w:r>
    </w:p>
    <w:p w:rsidR="00E864FF" w:rsidRPr="0064787A" w:rsidRDefault="00E864FF" w:rsidP="00E86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344B10" w:rsidRPr="0064787A" w:rsidTr="00344B10">
        <w:tc>
          <w:tcPr>
            <w:tcW w:w="3539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KPK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Khyber Medical University</w:t>
            </w:r>
          </w:p>
        </w:tc>
        <w:tc>
          <w:tcPr>
            <w:tcW w:w="5471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Sindh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Liaquat University of Medical &amp; Health Sciences</w:t>
            </w:r>
          </w:p>
        </w:tc>
      </w:tr>
      <w:tr w:rsidR="00344B10" w:rsidRPr="0064787A" w:rsidTr="00344B10">
        <w:tc>
          <w:tcPr>
            <w:tcW w:w="3539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Punjab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University of Health Sciences</w:t>
            </w:r>
          </w:p>
        </w:tc>
        <w:tc>
          <w:tcPr>
            <w:tcW w:w="5471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Baluchistan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Bolan University of Medical &amp; Health Sciences</w:t>
            </w:r>
          </w:p>
        </w:tc>
      </w:tr>
      <w:tr w:rsidR="00344B10" w:rsidRPr="0064787A" w:rsidTr="00344B10">
        <w:tc>
          <w:tcPr>
            <w:tcW w:w="3539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AJ&amp;K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University of Health Sciences</w:t>
            </w:r>
          </w:p>
        </w:tc>
        <w:tc>
          <w:tcPr>
            <w:tcW w:w="5471" w:type="dxa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Armed Forces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National University of Medical Sciences</w:t>
            </w:r>
          </w:p>
        </w:tc>
      </w:tr>
      <w:tr w:rsidR="00344B10" w:rsidRPr="0064787A" w:rsidTr="00F018FC">
        <w:tc>
          <w:tcPr>
            <w:tcW w:w="9010" w:type="dxa"/>
            <w:gridSpan w:val="2"/>
          </w:tcPr>
          <w:p w:rsidR="00344B10" w:rsidRPr="0064787A" w:rsidRDefault="00344B10" w:rsidP="00344B1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87A">
              <w:rPr>
                <w:rFonts w:ascii="Arial" w:hAnsi="Arial" w:cs="Arial"/>
                <w:b/>
                <w:i/>
                <w:sz w:val="20"/>
                <w:szCs w:val="20"/>
              </w:rPr>
              <w:t>Federal Capital (ICT)</w:t>
            </w:r>
            <w:r w:rsidRPr="0064787A">
              <w:rPr>
                <w:rFonts w:ascii="Arial" w:hAnsi="Arial" w:cs="Arial"/>
                <w:i/>
                <w:sz w:val="20"/>
                <w:szCs w:val="20"/>
              </w:rPr>
              <w:t>:  Shaheed Zulfiqar Ali Bhutto Medical University</w:t>
            </w:r>
          </w:p>
        </w:tc>
      </w:tr>
    </w:tbl>
    <w:p w:rsidR="00E864FF" w:rsidRPr="00E864FF" w:rsidRDefault="00E864FF" w:rsidP="00E864FF">
      <w:pPr>
        <w:jc w:val="both"/>
        <w:rPr>
          <w:b/>
          <w:sz w:val="22"/>
          <w:szCs w:val="22"/>
        </w:rPr>
      </w:pPr>
    </w:p>
    <w:p w:rsidR="00E864FF" w:rsidRPr="00E864FF" w:rsidRDefault="00E864FF" w:rsidP="00E864FF">
      <w:pPr>
        <w:jc w:val="both"/>
        <w:rPr>
          <w:i/>
          <w:sz w:val="22"/>
          <w:szCs w:val="22"/>
        </w:rPr>
      </w:pPr>
      <w:r w:rsidRPr="00E864FF">
        <w:rPr>
          <w:i/>
          <w:sz w:val="22"/>
          <w:szCs w:val="22"/>
        </w:rPr>
        <w:tab/>
      </w:r>
    </w:p>
    <w:sectPr w:rsidR="00E864FF" w:rsidRPr="00E864FF" w:rsidSect="00AF5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02ADF"/>
    <w:multiLevelType w:val="hybridMultilevel"/>
    <w:tmpl w:val="8F86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7D"/>
    <w:rsid w:val="001D5C7D"/>
    <w:rsid w:val="00263422"/>
    <w:rsid w:val="00344B10"/>
    <w:rsid w:val="00373B8F"/>
    <w:rsid w:val="003B10AD"/>
    <w:rsid w:val="0064787A"/>
    <w:rsid w:val="009B22A4"/>
    <w:rsid w:val="00A27128"/>
    <w:rsid w:val="00AF5CCC"/>
    <w:rsid w:val="00E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B2C2"/>
  <w15:chartTrackingRefBased/>
  <w15:docId w15:val="{746D4400-FB1E-3C43-95A7-4445E83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cat@pmdc.co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2019-08-03T17:42:00Z</dcterms:created>
  <dcterms:modified xsi:type="dcterms:W3CDTF">2019-08-05T04:04:00Z</dcterms:modified>
</cp:coreProperties>
</file>